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Es necesario dar a los empleados herramientas de tecnología para el trabajo híbrido: Logitech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Desde enero d</w:t>
      </w:r>
      <w:r w:rsidDel="00000000" w:rsidR="00000000" w:rsidRPr="00000000">
        <w:rPr>
          <w:i w:val="1"/>
          <w:rtl w:val="0"/>
        </w:rPr>
        <w:t xml:space="preserve">e</w:t>
      </w:r>
      <w:r w:rsidDel="00000000" w:rsidR="00000000" w:rsidRPr="00000000">
        <w:rPr>
          <w:i w:val="1"/>
          <w:rtl w:val="0"/>
        </w:rPr>
        <w:t xml:space="preserve">l 2021, los empleadores deben otorgar los insumos necesarios para que los colaboradores puedan realizar sus actividades de home office: Ley Federal del Trabajo.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Invertir en periféricos certificados minimiza los problemas de compatibilidad y favorece la productividad de los trabajadores.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En el contexto actual, el esquema de </w:t>
      </w:r>
      <w:r w:rsidDel="00000000" w:rsidR="00000000" w:rsidRPr="00000000">
        <w:rPr>
          <w:i w:val="1"/>
          <w:rtl w:val="0"/>
        </w:rPr>
        <w:t xml:space="preserve">home office</w:t>
      </w:r>
      <w:r w:rsidDel="00000000" w:rsidR="00000000" w:rsidRPr="00000000">
        <w:rPr>
          <w:rtl w:val="0"/>
        </w:rPr>
        <w:t xml:space="preserve"> significa más que sólo enviar a los colaboradores a su hogar para evitar contagios. Según un reciente estudio de Talent Solutions, casi el 30% de los empleadores en México consideran i</w:t>
      </w:r>
      <w:r w:rsidDel="00000000" w:rsidR="00000000" w:rsidRPr="00000000">
        <w:rPr>
          <w:rtl w:val="0"/>
        </w:rPr>
        <w:t xml:space="preserve">mplementar una dinámica de trabajo remoto hasta por dos días a la semana, y un 15% opta por hacerlo permanentemente.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Esta modalidad representa para las empresas realizar inversiones en tecnología para que todos cumplan con sus actividades de manera óptima; cuyo retorno de inversión, en el caso particular de los </w:t>
      </w:r>
      <w:r w:rsidDel="00000000" w:rsidR="00000000" w:rsidRPr="00000000">
        <w:rPr>
          <w:i w:val="1"/>
          <w:rtl w:val="0"/>
        </w:rPr>
        <w:t xml:space="preserve">gadgets</w:t>
      </w:r>
      <w:r w:rsidDel="00000000" w:rsidR="00000000" w:rsidRPr="00000000">
        <w:rPr>
          <w:rtl w:val="0"/>
        </w:rPr>
        <w:t xml:space="preserve"> para las juntas a distancia, se maximizará en tanto se entregue a los empleados equipos con certificación de compatibilidad con las distintas plataformas como Zoom, Google Meet o Microsoft Teams.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Proveer de periféricos tecnológicos a los empleados, garantiza que puedan trabajar de manera eficiente y los resultados de productividad se eleven. </w:t>
      </w:r>
      <w:r w:rsidDel="00000000" w:rsidR="00000000" w:rsidRPr="00000000">
        <w:rPr>
          <w:i w:val="1"/>
          <w:rtl w:val="0"/>
        </w:rPr>
        <w:t xml:space="preserve">Se trata de ver a la tecnología </w:t>
      </w:r>
      <w:r w:rsidDel="00000000" w:rsidR="00000000" w:rsidRPr="00000000">
        <w:rPr>
          <w:i w:val="1"/>
          <w:rtl w:val="0"/>
        </w:rPr>
        <w:t xml:space="preserve">desde un punto de vista holístico; no basta con dar cualquier laptop, audífonos y webcam a los colaboradores, sino que deben tener calidad de nivel empresarial si realmente se busca tener un buen desempeño</w:t>
      </w:r>
      <w:r w:rsidDel="00000000" w:rsidR="00000000" w:rsidRPr="00000000">
        <w:rPr>
          <w:rtl w:val="0"/>
        </w:rPr>
        <w:t xml:space="preserve">”; comenta al respecto Lourdes Baeza, Senior Marketing Manager de Logitech México.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Apoyar al trabajador en casa con lo necesario, un mandato de ley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Dotar a los empleados de dicha tecnología es responsabilidad de las organizaciones, como indica una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reforma</w:t>
        </w:r>
      </w:hyperlink>
      <w:r w:rsidDel="00000000" w:rsidR="00000000" w:rsidRPr="00000000">
        <w:rPr>
          <w:rtl w:val="0"/>
        </w:rPr>
        <w:t xml:space="preserve"> a la Ley Federal del Trabajo que entró en vigor el </w:t>
      </w:r>
      <w:r w:rsidDel="00000000" w:rsidR="00000000" w:rsidRPr="00000000">
        <w:rPr>
          <w:rtl w:val="0"/>
        </w:rPr>
        <w:t xml:space="preserve">12 de enero del año pasado,</w:t>
      </w:r>
      <w:r w:rsidDel="00000000" w:rsidR="00000000" w:rsidRPr="00000000">
        <w:rPr>
          <w:rtl w:val="0"/>
        </w:rPr>
        <w:t xml:space="preserve"> señalando que los empleadores deben otorgar los insumos necesarios para que los trabajadores puedan realizar sus actividades. Esta regulación establece nueve derechos y tres obligaciones para los colaboradores; en el primer grupo destaca el recibir los equipos necesarios para sus actividades (computadora, sillas ergonómicas, impresoras, etc.), y en el segundo cuidar los dispositivos, materiales y útiles entregados.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Dar estos aditamentos a las células laborales es un mandato oficial, pero en el fondo se trata de un esquema ganar-ganar con beneficios para empleadores y colaboradores por igual. Hay que entender que el trabajo híbrido requiere de sus propias herramientas, como periféricos que brinden una experiencia de video y audio envolvente de alta calidad, acorde con las exigencias y la competitividad del mundo actual</w:t>
      </w:r>
      <w:r w:rsidDel="00000000" w:rsidR="00000000" w:rsidRPr="00000000">
        <w:rPr>
          <w:rtl w:val="0"/>
        </w:rPr>
        <w:t xml:space="preserve">”; remata Lourdes Baeza.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De acuerdo con una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investigación</w:t>
        </w:r>
      </w:hyperlink>
      <w:r w:rsidDel="00000000" w:rsidR="00000000" w:rsidRPr="00000000">
        <w:rPr>
          <w:rtl w:val="0"/>
        </w:rPr>
        <w:t xml:space="preserve"> de Frost &amp; Sullivan, en la transición al teletrabajo la tecnología adecuada ayuda a las compañías a maximizar su productividad y escalabilidad; a la vez que los empleados tienen mayor flexibilidad, ahorro de tiempo y un mejor equilibrio entre lo laboral y la vida personal. </w:t>
      </w:r>
      <w:r w:rsidDel="00000000" w:rsidR="00000000" w:rsidRPr="00000000">
        <w:rPr>
          <w:rtl w:val="0"/>
        </w:rPr>
        <w:t xml:space="preserve">Algunos dispositivos que cumplen con estas funciones, además de tener la certificación de compatibilidad anteriormente señalada, son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cámaras web</w:t>
        </w:r>
      </w:hyperlink>
      <w:r w:rsidDel="00000000" w:rsidR="00000000" w:rsidRPr="00000000">
        <w:rPr>
          <w:rtl w:val="0"/>
        </w:rPr>
        <w:t xml:space="preserve"> o los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earbuds bluetooth</w:t>
        </w:r>
      </w:hyperlink>
      <w:r w:rsidDel="00000000" w:rsidR="00000000" w:rsidRPr="00000000">
        <w:rPr>
          <w:rtl w:val="0"/>
        </w:rPr>
        <w:t xml:space="preserve"> y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audífonos de diadema</w:t>
        </w:r>
      </w:hyperlink>
      <w:r w:rsidDel="00000000" w:rsidR="00000000" w:rsidRPr="00000000">
        <w:rPr>
          <w:rtl w:val="0"/>
        </w:rPr>
        <w:t xml:space="preserve">, que incluyen micrófono con supresión de ruido y están especialmente diseñados para uso empresarial.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Dentro de las organizaciones modernas, la inversión no debe limitarse únicamente a las licencias de</w:t>
      </w:r>
      <w:r w:rsidDel="00000000" w:rsidR="00000000" w:rsidRPr="00000000">
        <w:rPr>
          <w:i w:val="1"/>
          <w:rtl w:val="0"/>
        </w:rPr>
        <w:t xml:space="preserve"> software</w:t>
      </w:r>
      <w:r w:rsidDel="00000000" w:rsidR="00000000" w:rsidRPr="00000000">
        <w:rPr>
          <w:rtl w:val="0"/>
        </w:rPr>
        <w:t xml:space="preserve">. Vale mucho la pena asignar una partida a los </w:t>
      </w:r>
      <w:r w:rsidDel="00000000" w:rsidR="00000000" w:rsidRPr="00000000">
        <w:rPr>
          <w:i w:val="1"/>
          <w:rtl w:val="0"/>
        </w:rPr>
        <w:t xml:space="preserve">gadgets,</w:t>
      </w:r>
      <w:r w:rsidDel="00000000" w:rsidR="00000000" w:rsidRPr="00000000">
        <w:rPr>
          <w:rtl w:val="0"/>
        </w:rPr>
        <w:t xml:space="preserve"> sobre todo los que promueven una colaboración mejorada y más fluida dentro de las aplicaciones que están marcando el devenir del </w:t>
      </w:r>
      <w:r w:rsidDel="00000000" w:rsidR="00000000" w:rsidRPr="00000000">
        <w:rPr>
          <w:i w:val="1"/>
          <w:rtl w:val="0"/>
        </w:rPr>
        <w:t xml:space="preserve">home office</w:t>
      </w:r>
      <w:r w:rsidDel="00000000" w:rsidR="00000000" w:rsidRPr="00000000">
        <w:rPr>
          <w:rtl w:val="0"/>
        </w:rPr>
        <w:t xml:space="preserve">; en este sentido, Frost &amp; Sullivan precisa que si para el 2019 apenas el 5% de la fuerza laboral a nivel global operaba desde casa, en el futuro cercano el indicador crecerá a un 40%.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Logitech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Logitech ayuda a todas las personas a perseguir sus pasiones diseñando experiencias para que todos puedan crear, lograr y disfrutar más. Logitech diseña y crea productos que unen a las personas a través de la informática, los juegos, el vídeo, el streaming y creación, y la música. Las marcas de Logitech </w:t>
      </w:r>
      <w:r w:rsidDel="00000000" w:rsidR="00000000" w:rsidRPr="00000000">
        <w:rPr>
          <w:rtl w:val="0"/>
        </w:rPr>
        <w:t xml:space="preserve">incluyen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Streamlabs</w:t>
        </w:r>
      </w:hyperlink>
      <w:r w:rsidDel="00000000" w:rsidR="00000000" w:rsidRPr="00000000">
        <w:rPr>
          <w:rtl w:val="0"/>
        </w:rPr>
        <w:t xml:space="preserve">,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rtl w:val="0"/>
        </w:rPr>
        <w:t xml:space="preserve">,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rtl w:val="0"/>
        </w:rPr>
        <w:t xml:space="preserve"> y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Jaybird</w:t>
        </w:r>
      </w:hyperlink>
      <w:r w:rsidDel="00000000" w:rsidR="00000000" w:rsidRPr="00000000">
        <w:rPr>
          <w:rtl w:val="0"/>
        </w:rPr>
        <w:t xml:space="preserve">. Fundada en 1981 y con sede en Lausana (Suiza), Logitech International es una empresa pública suiza que cotiza en el SIX Swiss Exchange (LOGN) y en el Nasdaq Global Select Market (LOGI). Encuentre a Logitech en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www.logitech.com</w:t>
        </w:r>
      </w:hyperlink>
      <w:r w:rsidDel="00000000" w:rsidR="00000000" w:rsidRPr="00000000">
        <w:rPr>
          <w:rtl w:val="0"/>
        </w:rPr>
        <w:t xml:space="preserve">, el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blog</w:t>
        </w:r>
      </w:hyperlink>
      <w:r w:rsidDel="00000000" w:rsidR="00000000" w:rsidRPr="00000000">
        <w:rPr>
          <w:rtl w:val="0"/>
        </w:rPr>
        <w:t xml:space="preserve"> de la empresa o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@LogitechMex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2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4273550</wp:posOffset>
          </wp:positionH>
          <wp:positionV relativeFrom="paragraph">
            <wp:posOffset>-285749</wp:posOffset>
          </wp:positionV>
          <wp:extent cx="1481138" cy="56424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1138" cy="56424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LogitechMex" TargetMode="External"/><Relationship Id="rId11" Type="http://schemas.openxmlformats.org/officeDocument/2006/relationships/hyperlink" Target="https://www.logitech.com/es-mx" TargetMode="External"/><Relationship Id="rId10" Type="http://schemas.openxmlformats.org/officeDocument/2006/relationships/hyperlink" Target="https://www.logitech.com/es-mx/products/headsets/h390-usb-headset.981-000060.html" TargetMode="External"/><Relationship Id="rId21" Type="http://schemas.openxmlformats.org/officeDocument/2006/relationships/header" Target="header1.xml"/><Relationship Id="rId13" Type="http://schemas.openxmlformats.org/officeDocument/2006/relationships/hyperlink" Target="https://www.astrogaming.com/es-mx" TargetMode="External"/><Relationship Id="rId12" Type="http://schemas.openxmlformats.org/officeDocument/2006/relationships/hyperlink" Target="https://www.logitechg.com/es-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.com/es-mx/products/headsets/zone-true-wireless-earbuds.985-001081.html" TargetMode="External"/><Relationship Id="rId15" Type="http://schemas.openxmlformats.org/officeDocument/2006/relationships/hyperlink" Target="https://www.bluemic.com/en-us/" TargetMode="External"/><Relationship Id="rId14" Type="http://schemas.openxmlformats.org/officeDocument/2006/relationships/hyperlink" Target="https://streamlabs.com/" TargetMode="External"/><Relationship Id="rId17" Type="http://schemas.openxmlformats.org/officeDocument/2006/relationships/hyperlink" Target="https://www.jaybirdsport.com/es-mx" TargetMode="External"/><Relationship Id="rId16" Type="http://schemas.openxmlformats.org/officeDocument/2006/relationships/hyperlink" Target="https://www.ultimateears.com/" TargetMode="External"/><Relationship Id="rId5" Type="http://schemas.openxmlformats.org/officeDocument/2006/relationships/styles" Target="styles.xml"/><Relationship Id="rId19" Type="http://schemas.openxmlformats.org/officeDocument/2006/relationships/hyperlink" Target="http://blog.logitech.com/" TargetMode="External"/><Relationship Id="rId6" Type="http://schemas.openxmlformats.org/officeDocument/2006/relationships/hyperlink" Target="https://www.capital21.cdmx.gob.mx/noticias/?p=7891" TargetMode="External"/><Relationship Id="rId18" Type="http://schemas.openxmlformats.org/officeDocument/2006/relationships/hyperlink" Target="https://www.logitech.com/es-mx" TargetMode="External"/><Relationship Id="rId7" Type="http://schemas.openxmlformats.org/officeDocument/2006/relationships/hyperlink" Target="https://www.logitech.com/content/dam/logitech/es/video-collaboration/pdf/frost-and-sullivan-are-you-ready-for-the-hybrid-workplace.pdf?mkt_tok=MjAxLVdHSC04ODkAAAGApGe9L0d2eOjGrklBkH4H-bdovZDmwJpi5KL2a8XwqMu73tGqY_BpOHD7bn173ro11tZXgSfrqq6HLGvqXlGnP9BPvp5qKe7NDihyo8WoHzcs" TargetMode="External"/><Relationship Id="rId8" Type="http://schemas.openxmlformats.org/officeDocument/2006/relationships/hyperlink" Target="https://www.logitech.com/es-mx/products/webcams/c925e-business-webcam.960-001075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